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BE" w:rsidRDefault="00156785">
      <w:pPr>
        <w:tabs>
          <w:tab w:val="left" w:pos="5670"/>
        </w:tabs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Arial" w:hAnsi="Arial"/>
          <w:noProof/>
          <w:sz w:val="16"/>
          <w:lang w:val="sk-SK"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-5702300</wp:posOffset>
            </wp:positionH>
            <wp:positionV relativeFrom="paragraph">
              <wp:posOffset>-911860</wp:posOffset>
            </wp:positionV>
            <wp:extent cx="822325" cy="650583"/>
            <wp:effectExtent l="0" t="0" r="0" b="0"/>
            <wp:wrapNone/>
            <wp:docPr id="14" name="Grafik 14" descr="E:\BIG AT-HU\Konzepte\Corporate Design\EU_flag-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IG AT-HU\Konzepte\Corporate Design\EU_flag-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65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ab/>
      </w:r>
    </w:p>
    <w:p w:rsidR="003C42BE" w:rsidRDefault="003C42BE">
      <w:pPr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C42BE" w:rsidRDefault="00DE3E6D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="00156785">
        <w:rPr>
          <w:rFonts w:asciiTheme="minorHAnsi" w:hAnsiTheme="minorHAnsi" w:cstheme="minorHAnsi"/>
          <w:b/>
          <w:sz w:val="22"/>
          <w:szCs w:val="22"/>
          <w:lang w:val="sk-SK"/>
        </w:rPr>
        <w:t xml:space="preserve">„Kooperácie v oblasti vzdelávania v pohraničnom regióne SK-AT </w:t>
      </w:r>
      <w:r w:rsidR="00156785">
        <w:rPr>
          <w:rFonts w:asciiTheme="minorHAnsi" w:hAnsiTheme="minorHAnsi" w:cstheme="minorHAnsi"/>
          <w:b/>
          <w:sz w:val="22"/>
          <w:szCs w:val="22"/>
          <w:lang w:val="sk-SK"/>
        </w:rPr>
        <w:t>bilingválne“ (BIG_ling SK-AT)</w:t>
      </w:r>
    </w:p>
    <w:p w:rsidR="003C42BE" w:rsidRDefault="00156785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sz w:val="22"/>
          <w:szCs w:val="22"/>
          <w:lang w:val="sk-SK"/>
        </w:rPr>
        <w:t>V rámci kooperačného programu INTERREG V-A Slovensko-Rakúsko</w:t>
      </w:r>
    </w:p>
    <w:p w:rsidR="003C42BE" w:rsidRDefault="00156785">
      <w:pPr>
        <w:pStyle w:val="Nadpis2"/>
        <w:numPr>
          <w:ilvl w:val="0"/>
          <w:numId w:val="1"/>
        </w:numPr>
        <w:rPr>
          <w:rFonts w:asciiTheme="minorHAnsi" w:hAnsiTheme="minorHAnsi" w:cstheme="minorHAnsi"/>
          <w:sz w:val="24"/>
          <w:lang w:val="sk-SK" w:eastAsia="de-DE"/>
        </w:rPr>
      </w:pPr>
      <w:r>
        <w:rPr>
          <w:rFonts w:asciiTheme="minorHAnsi" w:hAnsiTheme="minorHAnsi" w:cstheme="minorHAnsi"/>
          <w:sz w:val="24"/>
          <w:lang w:val="sk-SK" w:eastAsia="de-DE"/>
        </w:rPr>
        <w:t>Všeobecný opis projektu</w:t>
      </w:r>
    </w:p>
    <w:p w:rsidR="003C42BE" w:rsidRDefault="00156785">
      <w:pPr>
        <w:pStyle w:val="Normlnywebov"/>
        <w:spacing w:before="12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>
        <w:rPr>
          <w:rFonts w:ascii="Calibri" w:hAnsi="Calibri" w:cs="Calibri"/>
          <w:color w:val="000000"/>
          <w:sz w:val="22"/>
          <w:szCs w:val="22"/>
          <w:lang w:val="sk-SK"/>
        </w:rPr>
        <w:t>Neustále rastúci región s hlavnými mestami Bratislavou a Viedňou predstavuje dynamický hospodársky priestor s rôznorodými možnosťami zamestna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>nosti. Tento región má mestský charakter na jednej strane, na druhej strane je tvorený bohatými (chránenými) krajinnými oblasťami. Jazyková a kultúrna rozmanitosť, ktorou sa tento región vyznačuje, predstavuje dôležitý, okrem iného aj pre pracovný trh, rel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>evantný faktor, ovplyvňujúci rozvoj, konkurencieschopnosť a atraktivitu tohto špecifického životného priestoru.</w:t>
      </w:r>
    </w:p>
    <w:p w:rsidR="003C42BE" w:rsidRDefault="00156785">
      <w:pPr>
        <w:pStyle w:val="Normlnywebov"/>
        <w:spacing w:before="12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>
        <w:rPr>
          <w:rFonts w:ascii="Calibri" w:hAnsi="Calibri" w:cs="Calibri"/>
          <w:color w:val="000000"/>
          <w:sz w:val="22"/>
          <w:szCs w:val="22"/>
          <w:lang w:val="sk-SK"/>
        </w:rPr>
        <w:t>Jazykové a kultúrne znalosti sú rozhodujúce pre zamestnanosť budúcich mladých dospelých ľudí.                     Súčasne sú v oboch krajinách p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re sektor vzdelávania prioritou </w:t>
      </w:r>
      <w:r>
        <w:rPr>
          <w:rFonts w:ascii="Calibri" w:hAnsi="Calibri" w:cs="Calibri"/>
          <w:b/>
          <w:color w:val="000000"/>
          <w:sz w:val="22"/>
          <w:szCs w:val="22"/>
          <w:lang w:val="sk-SK"/>
        </w:rPr>
        <w:t>kompetencie v oblasti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prírodných vied, techniky a digitalizácie.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sk-SK"/>
        </w:rPr>
        <w:t>Z tohto dôvodu</w:t>
      </w:r>
      <w:r>
        <w:rPr>
          <w:rFonts w:ascii="Calibri" w:hAnsi="Calibri" w:cs="Calibri"/>
          <w:b/>
          <w:color w:val="00000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sk-SK"/>
        </w:rPr>
        <w:t>je v  súčasnom projekte získavanie jazykových znalostí (jazykov suseda/viacjazyčnosti)</w:t>
      </w:r>
      <w:r>
        <w:rPr>
          <w:rFonts w:ascii="Calibri" w:hAnsi="Calibri" w:cs="Calibri"/>
          <w:b/>
          <w:color w:val="00000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sk-SK"/>
        </w:rPr>
        <w:t>rozšírené o ponuku aktivít zameraných na objavovanie a vy</w:t>
      </w:r>
      <w:r>
        <w:rPr>
          <w:rFonts w:ascii="Calibri" w:hAnsi="Calibri" w:cs="Calibri"/>
          <w:bCs/>
          <w:color w:val="000000"/>
          <w:sz w:val="22"/>
          <w:szCs w:val="22"/>
          <w:lang w:val="sk-SK"/>
        </w:rPr>
        <w:t>užívanie pohybových činností v učebných procesoch zacielených na digitálnu oblasť, oblasť prírodných vied a techniky.</w:t>
      </w:r>
      <w:r>
        <w:rPr>
          <w:rFonts w:ascii="Calibri" w:hAnsi="Calibri" w:cs="Calibri"/>
          <w:b/>
          <w:color w:val="00000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sk-SK"/>
        </w:rPr>
        <w:t>Tento aspekt obohacuje spoluprácu medzi vzdelávacími inštitúciami o ďalšie perspektívy.</w:t>
      </w:r>
      <w:r>
        <w:rPr>
          <w:rFonts w:ascii="Calibri" w:hAnsi="Calibri" w:cs="Calibri"/>
          <w:b/>
          <w:color w:val="00000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Ďalším inovatívnym prínosom je využitie </w:t>
      </w:r>
      <w:r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regionálny</w:t>
      </w:r>
      <w:r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ch potenciálov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 (napríklad chránených krajinných území, múzeí, podnikov, veľkomiest), ktoré budú v rámci projektu predstavené ako miesta výučby a zapojené do každodennej pedagogickej praxe ako zdroj nových vedomostí a znalostí.   </w:t>
      </w:r>
    </w:p>
    <w:p w:rsidR="003C42BE" w:rsidRDefault="00156785">
      <w:pPr>
        <w:pStyle w:val="Normlnywebov"/>
        <w:spacing w:before="12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Na zabezpečenie úspešnej </w:t>
      </w:r>
      <w:r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i</w:t>
      </w:r>
      <w:r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mplementácie inovatívnych vzdelávacích prístupov k bilingvalite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 v jednotlivých vzdelávacích inštitúciách, sa v rámci kooperácie v oblasti vzdelávania v pohraničnom regióne vypracuje trvalo udržateľný koncept bilingválneho vzdelávania. </w:t>
      </w:r>
    </w:p>
    <w:p w:rsidR="003C42BE" w:rsidRDefault="00156785">
      <w:pPr>
        <w:pStyle w:val="Normlnywebov"/>
        <w:spacing w:before="12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Naviac bude prvý 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>krát vykonaná</w:t>
      </w:r>
      <w:r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 xml:space="preserve"> bilancia vedomostí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 v kontexte cezhraničných EU-projektov.  Výsledok poskytne transparentný prehľad o vzniknutej pridanej hodnote získanej v rámci projektov, súčasne poukáže na opatrenia ohľadom budúcich projektových jednaní, rovnako bude využ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>itý ako prostriedok k ďalšej komunikácii.</w:t>
      </w:r>
    </w:p>
    <w:p w:rsidR="003C42BE" w:rsidRDefault="00156785">
      <w:pPr>
        <w:pStyle w:val="Nadpis2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 w:val="24"/>
          <w:lang w:val="sk-SK" w:eastAsia="de-DE"/>
        </w:rPr>
      </w:pPr>
      <w:r>
        <w:rPr>
          <w:rFonts w:asciiTheme="minorHAnsi" w:hAnsiTheme="minorHAnsi" w:cstheme="minorHAnsi"/>
          <w:sz w:val="24"/>
          <w:lang w:val="sk-SK" w:eastAsia="de-DE"/>
        </w:rPr>
        <w:t>Ciele</w:t>
      </w:r>
    </w:p>
    <w:p w:rsidR="003C42BE" w:rsidRDefault="00156785">
      <w:pPr>
        <w:pStyle w:val="Odsekzoznamu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Sprostredkovanie jazyka je rozšírené o </w:t>
      </w:r>
      <w:r>
        <w:rPr>
          <w:rFonts w:asciiTheme="minorHAnsi" w:hAnsiTheme="minorHAnsi" w:cstheme="minorHAnsi"/>
          <w:b/>
          <w:sz w:val="22"/>
          <w:szCs w:val="22"/>
          <w:lang w:val="sk-SK"/>
        </w:rPr>
        <w:t>nové témy a kompetenčné oblasti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(MINT*- podpora, citlivé rozširovania jazykových kompetencií sprostredkovaním nových poznatkov so zameraním na </w:t>
      </w:r>
      <w:r>
        <w:rPr>
          <w:rFonts w:asciiTheme="minorHAnsi" w:hAnsiTheme="minorHAnsi" w:cstheme="minorHAnsi"/>
          <w:b/>
          <w:sz w:val="22"/>
          <w:szCs w:val="22"/>
          <w:lang w:val="sk-SK"/>
        </w:rPr>
        <w:t xml:space="preserve">objavovanie a aj pohybové </w:t>
      </w:r>
      <w:r>
        <w:rPr>
          <w:rFonts w:asciiTheme="minorHAnsi" w:hAnsiTheme="minorHAnsi" w:cstheme="minorHAnsi"/>
          <w:b/>
          <w:sz w:val="22"/>
          <w:szCs w:val="22"/>
          <w:lang w:val="sk-SK"/>
        </w:rPr>
        <w:t xml:space="preserve">aktivity. </w:t>
      </w:r>
    </w:p>
    <w:p w:rsidR="003C42BE" w:rsidRDefault="00156785">
      <w:pPr>
        <w:pStyle w:val="Odsekzoznamu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Využitie </w:t>
      </w:r>
      <w:r>
        <w:rPr>
          <w:rFonts w:asciiTheme="minorHAnsi" w:hAnsiTheme="minorHAnsi" w:cstheme="minorHAnsi"/>
          <w:b/>
          <w:sz w:val="22"/>
          <w:szCs w:val="22"/>
          <w:lang w:val="sk-SK"/>
        </w:rPr>
        <w:t>regionálnych potenciálov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ako zdroja a predmetu vzdelávania v pohraničnom hospodárskom priestore a životnom prostredí </w:t>
      </w:r>
    </w:p>
    <w:p w:rsidR="003C42BE" w:rsidRDefault="00156785">
      <w:pPr>
        <w:pStyle w:val="Odsekzoznamu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Senzibilizácia verejnosti, ako aj zamestnancov a nositeľov projektu zameraná na pridanú hodnotu bilingválnosti a na vy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pracovanie </w:t>
      </w:r>
      <w:r>
        <w:rPr>
          <w:rFonts w:asciiTheme="minorHAnsi" w:hAnsiTheme="minorHAnsi" w:cstheme="minorHAnsi"/>
          <w:b/>
          <w:bCs/>
          <w:sz w:val="22"/>
          <w:szCs w:val="22"/>
          <w:lang w:val="sk-SK"/>
        </w:rPr>
        <w:t>inovatívnych bilingválnych vzdelávacích prístupov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potrebných pre implementáciu vo vzdelávacích inštitúciách projektového regiónu SK-AT.</w:t>
      </w:r>
    </w:p>
    <w:p w:rsidR="003C42BE" w:rsidRDefault="00156785">
      <w:pPr>
        <w:spacing w:after="160" w:line="259" w:lineRule="auto"/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sz w:val="20"/>
          <w:szCs w:val="22"/>
          <w:lang w:val="sk-SK"/>
        </w:rPr>
        <w:t>*MINT: Matematika, Informatika, PrírodNé vedy, Technika</w:t>
      </w:r>
      <w:r>
        <w:rPr>
          <w:rFonts w:ascii="Arial" w:hAnsi="Arial"/>
          <w:noProof/>
          <w:sz w:val="16"/>
          <w:lang w:val="sk-SK"/>
        </w:rPr>
        <w:t xml:space="preserve"> </w:t>
      </w:r>
    </w:p>
    <w:p w:rsidR="003C42BE" w:rsidRDefault="00156785">
      <w:pPr>
        <w:pStyle w:val="Nadpis2"/>
        <w:numPr>
          <w:ilvl w:val="0"/>
          <w:numId w:val="1"/>
        </w:numPr>
        <w:rPr>
          <w:rFonts w:asciiTheme="minorHAnsi" w:hAnsiTheme="minorHAnsi" w:cstheme="minorHAnsi"/>
          <w:sz w:val="24"/>
          <w:lang w:val="sk-SK" w:eastAsia="de-DE"/>
        </w:rPr>
      </w:pPr>
      <w:r>
        <w:rPr>
          <w:rFonts w:asciiTheme="minorHAnsi" w:hAnsiTheme="minorHAnsi" w:cstheme="minorHAnsi"/>
          <w:sz w:val="24"/>
          <w:lang w:val="sk-SK" w:eastAsia="de-DE"/>
        </w:rPr>
        <w:t>Cieľové skupiny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>Deti materských škôl, žiačky, žiaci,</w:t>
      </w:r>
      <w:r>
        <w:rPr>
          <w:rFonts w:asciiTheme="minorHAnsi" w:hAnsiTheme="minorHAnsi" w:cstheme="minorHAnsi"/>
          <w:sz w:val="22"/>
          <w:szCs w:val="20"/>
          <w:lang w:val="sk-SK"/>
        </w:rPr>
        <w:t xml:space="preserve"> študentky, študenti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>Pedagogičky a pedagógovia, učiteľky, učitelia, učiteľky a učitelia jazykov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lastRenderedPageBreak/>
        <w:t>Rodičia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>Vzdelávacie inštitúcie (materské školy, školy)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 xml:space="preserve">Školské správy a správy materských škôl 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>Obce a mestá</w:t>
      </w:r>
    </w:p>
    <w:p w:rsidR="003C42BE" w:rsidRDefault="00156785">
      <w:pPr>
        <w:pStyle w:val="Odsekzoznamu"/>
        <w:numPr>
          <w:ilvl w:val="0"/>
          <w:numId w:val="2"/>
        </w:numPr>
        <w:tabs>
          <w:tab w:val="clear" w:pos="717"/>
          <w:tab w:val="num" w:pos="360"/>
        </w:tabs>
        <w:spacing w:before="120" w:after="120"/>
        <w:ind w:left="360"/>
        <w:rPr>
          <w:rStyle w:val="Nadpis3Char"/>
          <w:rFonts w:asciiTheme="minorHAnsi" w:hAnsiTheme="minorHAnsi" w:cstheme="minorHAnsi"/>
          <w:iCs/>
          <w:sz w:val="22"/>
          <w:lang w:val="sk-SK"/>
        </w:rPr>
      </w:pPr>
      <w:r>
        <w:rPr>
          <w:rStyle w:val="Nadpis3Char"/>
          <w:rFonts w:asciiTheme="minorHAnsi" w:hAnsiTheme="minorHAnsi" w:cstheme="minorHAnsi"/>
          <w:iCs/>
          <w:sz w:val="22"/>
          <w:lang w:val="sk-SK"/>
        </w:rPr>
        <w:t xml:space="preserve">Prírodné a kultúrne zariadenia, podniky, firmy, </w:t>
      </w:r>
      <w:r>
        <w:rPr>
          <w:rStyle w:val="Nadpis3Char"/>
          <w:rFonts w:asciiTheme="minorHAnsi" w:hAnsiTheme="minorHAnsi" w:cstheme="minorHAnsi"/>
          <w:iCs/>
          <w:sz w:val="22"/>
          <w:lang w:val="sk-SK"/>
        </w:rPr>
        <w:t>spolky</w:t>
      </w:r>
    </w:p>
    <w:p w:rsidR="003C42BE" w:rsidRDefault="003C42BE">
      <w:pPr>
        <w:pStyle w:val="Odsekzoznamu"/>
        <w:spacing w:before="120" w:after="120"/>
        <w:ind w:left="360"/>
        <w:rPr>
          <w:rStyle w:val="Nadpis3Char"/>
          <w:iCs/>
          <w:sz w:val="22"/>
          <w:lang w:val="sk-SK"/>
        </w:rPr>
      </w:pPr>
    </w:p>
    <w:p w:rsidR="003C42BE" w:rsidRDefault="00156785">
      <w:pPr>
        <w:pStyle w:val="Nadpis2"/>
        <w:numPr>
          <w:ilvl w:val="0"/>
          <w:numId w:val="1"/>
        </w:numPr>
        <w:spacing w:before="240" w:after="120"/>
        <w:ind w:left="714" w:hanging="357"/>
        <w:rPr>
          <w:rFonts w:asciiTheme="minorHAnsi" w:hAnsiTheme="minorHAnsi" w:cstheme="minorHAnsi"/>
          <w:sz w:val="24"/>
          <w:lang w:val="sk-SK" w:eastAsia="de-DE"/>
        </w:rPr>
      </w:pPr>
      <w:r>
        <w:rPr>
          <w:rFonts w:asciiTheme="minorHAnsi" w:hAnsiTheme="minorHAnsi" w:cstheme="minorHAnsi"/>
          <w:sz w:val="24"/>
          <w:lang w:val="sk-SK" w:eastAsia="de-DE"/>
        </w:rPr>
        <w:t>Aktivity</w:t>
      </w:r>
    </w:p>
    <w:p w:rsidR="003C42BE" w:rsidRDefault="003C42BE">
      <w:pPr>
        <w:rPr>
          <w:lang w:val="sk-SK" w:eastAsia="de-DE"/>
        </w:rPr>
      </w:pPr>
    </w:p>
    <w:p w:rsidR="003C42BE" w:rsidRDefault="00156785">
      <w:pPr>
        <w:rPr>
          <w:rFonts w:asciiTheme="minorHAnsi" w:hAnsiTheme="minorHAnsi" w:cstheme="minorHAnsi"/>
          <w:sz w:val="22"/>
          <w:lang w:val="sk-SK" w:eastAsia="de-DE"/>
        </w:rPr>
      </w:pPr>
      <w:r>
        <w:rPr>
          <w:rFonts w:asciiTheme="minorHAnsi" w:hAnsiTheme="minorHAnsi" w:cstheme="minorHAnsi"/>
          <w:b/>
          <w:bCs/>
          <w:sz w:val="22"/>
          <w:lang w:val="sk-SK" w:eastAsia="de-DE"/>
        </w:rPr>
        <w:t xml:space="preserve">1. Tematické prehĺbenie – proces učenia sa skúmaním, objavovaním, s rozšíreným využitím pohybových aktivít 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>Sprostredkovanie jazyka bude prepojené so sprostredkovaním vedomostí, ťažiskom sú prírodné vedy a technika v kontexte digitalizáci</w:t>
      </w:r>
      <w:r>
        <w:rPr>
          <w:rFonts w:asciiTheme="minorHAnsi" w:hAnsiTheme="minorHAnsi" w:cstheme="minorHAnsi"/>
          <w:sz w:val="22"/>
          <w:szCs w:val="20"/>
          <w:lang w:val="sk-SK"/>
        </w:rPr>
        <w:t>e a bilingválnosti.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>Príprava učebných materiálov na podporu sprostredkovania jazyka zohľadňujúca procesy učenia sa skúmaním, objavovaním, s rozšíreným využitím pohybových aktivít / jazykový materiál využívajúci MINT témy bude doplnený o aspekt regionálnych</w:t>
      </w:r>
      <w:r>
        <w:rPr>
          <w:rFonts w:asciiTheme="minorHAnsi" w:hAnsiTheme="minorHAnsi" w:cstheme="minorHAnsi"/>
          <w:sz w:val="22"/>
          <w:szCs w:val="20"/>
          <w:lang w:val="sk-SK"/>
        </w:rPr>
        <w:t xml:space="preserve"> potenciálov.</w:t>
      </w:r>
    </w:p>
    <w:p w:rsidR="003C42BE" w:rsidRDefault="003C42BE">
      <w:pPr>
        <w:ind w:left="720"/>
        <w:rPr>
          <w:rFonts w:asciiTheme="minorHAnsi" w:hAnsiTheme="minorHAnsi" w:cstheme="minorHAnsi"/>
          <w:sz w:val="22"/>
          <w:lang w:val="sk-SK" w:eastAsia="de-DE"/>
        </w:rPr>
      </w:pPr>
    </w:p>
    <w:p w:rsidR="003C42BE" w:rsidRDefault="00156785">
      <w:pPr>
        <w:rPr>
          <w:rFonts w:asciiTheme="minorHAnsi" w:hAnsiTheme="minorHAnsi" w:cstheme="minorHAnsi"/>
          <w:sz w:val="22"/>
          <w:lang w:val="sk-SK" w:eastAsia="de-DE"/>
        </w:rPr>
      </w:pPr>
      <w:r>
        <w:rPr>
          <w:rFonts w:asciiTheme="minorHAnsi" w:hAnsiTheme="minorHAnsi" w:cstheme="minorHAnsi"/>
          <w:b/>
          <w:bCs/>
          <w:sz w:val="22"/>
          <w:lang w:val="sk-SK" w:eastAsia="de-DE"/>
        </w:rPr>
        <w:t xml:space="preserve">2. Kvalifikácia a odborná výmena názorov v pohraničí 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 xml:space="preserve">Regionálne a cezhraničné semináre, exkurzie, odborné prednášky a podujatia pre pedagogičky </w:t>
      </w:r>
    </w:p>
    <w:p w:rsidR="003C42BE" w:rsidRDefault="00156785">
      <w:pPr>
        <w:pStyle w:val="Odsekzoznamu"/>
        <w:spacing w:before="120" w:after="120"/>
        <w:ind w:left="357"/>
        <w:rPr>
          <w:rFonts w:asciiTheme="minorHAnsi" w:hAnsiTheme="minorHAnsi" w:cstheme="minorHAnsi"/>
          <w:sz w:val="22"/>
          <w:szCs w:val="20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>a pedagógov, študentky a študentov, ako aj cezhraničná odborná prax pre študentky a študentov.</w:t>
      </w:r>
    </w:p>
    <w:p w:rsidR="003C42BE" w:rsidRDefault="003C42BE">
      <w:pPr>
        <w:ind w:left="720"/>
        <w:rPr>
          <w:rFonts w:asciiTheme="minorHAnsi" w:hAnsiTheme="minorHAnsi" w:cstheme="minorHAnsi"/>
          <w:sz w:val="22"/>
          <w:lang w:val="sk-SK" w:eastAsia="de-DE"/>
        </w:rPr>
      </w:pPr>
    </w:p>
    <w:p w:rsidR="003C42BE" w:rsidRDefault="00156785">
      <w:pPr>
        <w:rPr>
          <w:rFonts w:asciiTheme="minorHAnsi" w:hAnsiTheme="minorHAnsi" w:cstheme="minorHAnsi"/>
          <w:b/>
          <w:bCs/>
          <w:sz w:val="22"/>
          <w:lang w:val="sk-SK" w:eastAsia="de-DE"/>
        </w:rPr>
      </w:pPr>
      <w:r>
        <w:rPr>
          <w:rFonts w:asciiTheme="minorHAnsi" w:hAnsiTheme="minorHAnsi" w:cstheme="minorHAnsi"/>
          <w:b/>
          <w:bCs/>
          <w:sz w:val="22"/>
          <w:lang w:val="sk-SK" w:eastAsia="de-DE"/>
        </w:rPr>
        <w:t>3. Začlenenie regionálnych potenciálov do projektových aktivít v pohraničí</w:t>
      </w:r>
    </w:p>
    <w:p w:rsidR="003C42BE" w:rsidRDefault="003C42BE">
      <w:pPr>
        <w:rPr>
          <w:rFonts w:asciiTheme="minorHAnsi" w:hAnsiTheme="minorHAnsi" w:cstheme="minorHAnsi"/>
          <w:b/>
          <w:bCs/>
          <w:sz w:val="22"/>
          <w:lang w:val="sk-SK" w:eastAsia="de-DE"/>
        </w:rPr>
      </w:pP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lang w:val="sk-SK" w:eastAsia="de-DE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 xml:space="preserve">Regionálne potenciály (napríklad múzeá, podniky, chránené krajinné územia) budú objavené ako 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 xml:space="preserve">miesta výučby a využité v každodennej pedagogickej praxi ako zdroj nových vedomostí a 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>znalostí.</w:t>
      </w:r>
    </w:p>
    <w:p w:rsidR="003C42BE" w:rsidRDefault="00156785">
      <w:pPr>
        <w:pStyle w:val="Odsekzoznamu"/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lang w:val="sk-SK" w:eastAsia="de-DE"/>
        </w:rPr>
      </w:pPr>
      <w:r>
        <w:rPr>
          <w:rFonts w:ascii="Calibri" w:hAnsi="Calibri" w:cs="Calibri"/>
          <w:color w:val="000000"/>
          <w:sz w:val="22"/>
          <w:szCs w:val="22"/>
          <w:lang w:val="sk-SK"/>
        </w:rPr>
        <w:t>Cezhraničné exkurzie partnerských materských škôl, resp. škôl, rozšírenie a prehĺbenie stretnutí, na ktorých účastníci okrem jazykových skúseností získajú prehľad o hospodárskych a kultúrnych perspektívach (potenciály spoločného životného priesto</w:t>
      </w:r>
      <w:r>
        <w:rPr>
          <w:rFonts w:ascii="Calibri" w:hAnsi="Calibri" w:cs="Calibri"/>
          <w:color w:val="000000"/>
          <w:sz w:val="22"/>
          <w:szCs w:val="22"/>
          <w:lang w:val="sk-SK"/>
        </w:rPr>
        <w:t>ru).</w:t>
      </w:r>
    </w:p>
    <w:p w:rsidR="003C42BE" w:rsidRDefault="003C42BE">
      <w:pPr>
        <w:pStyle w:val="Odsekzoznamu"/>
        <w:spacing w:before="120" w:after="120"/>
        <w:ind w:left="360"/>
        <w:rPr>
          <w:rFonts w:asciiTheme="minorHAnsi" w:hAnsiTheme="minorHAnsi" w:cstheme="minorHAnsi"/>
          <w:sz w:val="22"/>
          <w:lang w:val="sk-SK" w:eastAsia="de-DE"/>
        </w:rPr>
      </w:pPr>
    </w:p>
    <w:p w:rsidR="003C42BE" w:rsidRDefault="00156785">
      <w:pPr>
        <w:rPr>
          <w:rFonts w:asciiTheme="minorHAnsi" w:hAnsiTheme="minorHAnsi" w:cstheme="minorHAnsi"/>
          <w:b/>
          <w:bCs/>
          <w:sz w:val="22"/>
          <w:lang w:val="sk-SK" w:eastAsia="de-DE"/>
        </w:rPr>
      </w:pPr>
      <w:r>
        <w:rPr>
          <w:rFonts w:asciiTheme="minorHAnsi" w:hAnsiTheme="minorHAnsi" w:cstheme="minorHAnsi"/>
          <w:b/>
          <w:bCs/>
          <w:sz w:val="22"/>
          <w:lang w:val="sk-SK" w:eastAsia="de-DE"/>
        </w:rPr>
        <w:t>4. Inovatívne vzdelávacie prístupy zamerané na bilingvalitu a bilanciu vedomostí</w:t>
      </w:r>
    </w:p>
    <w:p w:rsidR="003C42BE" w:rsidRDefault="003C42BE">
      <w:pPr>
        <w:rPr>
          <w:rFonts w:asciiTheme="minorHAnsi" w:hAnsiTheme="minorHAnsi" w:cstheme="minorHAnsi"/>
          <w:b/>
          <w:bCs/>
          <w:sz w:val="22"/>
          <w:lang w:val="sk-SK" w:eastAsia="de-DE"/>
        </w:rPr>
      </w:pPr>
    </w:p>
    <w:p w:rsidR="003C42BE" w:rsidRDefault="00156785">
      <w:pPr>
        <w:pStyle w:val="Odsekzoznamu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0"/>
          <w:lang w:val="sk-SK"/>
        </w:rPr>
        <w:t xml:space="preserve">Vypracovanie konceptu a senzibilizácia verejnosti a nositeľov projektu 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zameraná na pridanú hodnotu bilingválnosti sú potrebné pre implementáciu inovatívnych </w:t>
      </w:r>
      <w:r>
        <w:rPr>
          <w:rFonts w:asciiTheme="minorHAnsi" w:hAnsiTheme="minorHAnsi" w:cstheme="minorHAnsi"/>
          <w:sz w:val="22"/>
          <w:szCs w:val="22"/>
          <w:lang w:val="sk-SK"/>
        </w:rPr>
        <w:t>bilingválnych vzdelávacích prístupov vo vzdelávacích inštitúciách pohraničného regiónu SK-AT a v aglomeračných centrách.</w:t>
      </w:r>
    </w:p>
    <w:p w:rsidR="003C42BE" w:rsidRDefault="00156785">
      <w:pPr>
        <w:pStyle w:val="Odsekzoznamu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Prevedenie bilancie vedomostí presahujúce rámec projektu– zviditeľnenie získaných hodnôt a kompetencií v projektoch v oblasti vzdelávan</w:t>
      </w:r>
      <w:r>
        <w:rPr>
          <w:rFonts w:asciiTheme="minorHAnsi" w:hAnsiTheme="minorHAnsi" w:cstheme="minorHAnsi"/>
          <w:sz w:val="22"/>
          <w:szCs w:val="22"/>
          <w:lang w:val="sk-SK"/>
        </w:rPr>
        <w:t>ia v pohraničných regiónoch.</w:t>
      </w:r>
    </w:p>
    <w:p w:rsidR="003C42BE" w:rsidRDefault="00156785">
      <w:pPr>
        <w:pStyle w:val="Odsekzoznamu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cstheme="minorHAnsi"/>
          <w:lang w:val="sk-SK"/>
        </w:rPr>
        <w:br w:type="page"/>
      </w:r>
    </w:p>
    <w:p w:rsidR="003C42BE" w:rsidRDefault="00156785">
      <w:pPr>
        <w:pStyle w:val="Nadpis2"/>
        <w:numPr>
          <w:ilvl w:val="0"/>
          <w:numId w:val="1"/>
        </w:numPr>
        <w:rPr>
          <w:rFonts w:asciiTheme="minorHAnsi" w:hAnsiTheme="minorHAnsi" w:cstheme="minorHAnsi"/>
          <w:sz w:val="24"/>
          <w:lang w:val="sk-SK" w:eastAsia="de-DE"/>
        </w:rPr>
      </w:pPr>
      <w:r>
        <w:rPr>
          <w:rFonts w:asciiTheme="minorHAnsi" w:hAnsiTheme="minorHAnsi" w:cstheme="minorHAnsi"/>
          <w:sz w:val="24"/>
          <w:lang w:val="sk-SK" w:eastAsia="de-DE"/>
        </w:rPr>
        <w:lastRenderedPageBreak/>
        <w:t>Kľúčové údaje</w:t>
      </w:r>
    </w:p>
    <w:p w:rsidR="003C42BE" w:rsidRDefault="003C42BE">
      <w:pPr>
        <w:rPr>
          <w:lang w:val="sk-SK" w:eastAsia="de-DE"/>
        </w:rPr>
      </w:pPr>
    </w:p>
    <w:p w:rsidR="003C42BE" w:rsidRDefault="003C42BE">
      <w:pPr>
        <w:rPr>
          <w:lang w:val="sk-SK" w:eastAsia="de-DE"/>
        </w:rPr>
      </w:pP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C42BE">
        <w:tc>
          <w:tcPr>
            <w:tcW w:w="1980" w:type="dxa"/>
          </w:tcPr>
          <w:p w:rsidR="003C42BE" w:rsidRDefault="00156785">
            <w:pPr>
              <w:rPr>
                <w:rFonts w:asciiTheme="minorHAnsi" w:hAnsiTheme="minorHAnsi" w:cstheme="minorHAnsi"/>
                <w:b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sk-SK"/>
              </w:rPr>
              <w:t>Názov projektu</w:t>
            </w:r>
          </w:p>
        </w:tc>
        <w:tc>
          <w:tcPr>
            <w:tcW w:w="7080" w:type="dxa"/>
          </w:tcPr>
          <w:p w:rsidR="003C42BE" w:rsidRDefault="00156785">
            <w:pPr>
              <w:rPr>
                <w:rFonts w:asciiTheme="minorHAnsi" w:hAnsiTheme="minorHAnsi" w:cstheme="minorHAnsi"/>
                <w:bCs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sk-SK"/>
              </w:rPr>
              <w:t>Kooperácie v oblasti vzdelávania v pohraničnom regióne SK-AT-_bilingválne (BIG_ling SK-AT)</w:t>
            </w:r>
          </w:p>
        </w:tc>
      </w:tr>
      <w:tr w:rsidR="003C42BE">
        <w:tc>
          <w:tcPr>
            <w:tcW w:w="1980" w:type="dxa"/>
          </w:tcPr>
          <w:p w:rsidR="003C42BE" w:rsidRDefault="00156785">
            <w:p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sk-SK"/>
              </w:rPr>
              <w:t>Projektová oblasť</w:t>
            </w:r>
          </w:p>
        </w:tc>
        <w:tc>
          <w:tcPr>
            <w:tcW w:w="7080" w:type="dxa"/>
          </w:tcPr>
          <w:p w:rsidR="003C42BE" w:rsidRDefault="00156785">
            <w:p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sk-SK"/>
              </w:rPr>
              <w:t>Dolné Rakúsko, Viedeň, Burgenlandsko, Bratislava kraj, Trnava kraj</w:t>
            </w:r>
          </w:p>
        </w:tc>
      </w:tr>
      <w:tr w:rsidR="003C42BE">
        <w:trPr>
          <w:trHeight w:val="439"/>
        </w:trPr>
        <w:tc>
          <w:tcPr>
            <w:tcW w:w="1980" w:type="dxa"/>
          </w:tcPr>
          <w:p w:rsidR="003C42BE" w:rsidRDefault="00156785">
            <w:p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sk-SK"/>
              </w:rPr>
              <w:t>Trvanie projektu</w:t>
            </w:r>
          </w:p>
        </w:tc>
        <w:tc>
          <w:tcPr>
            <w:tcW w:w="7080" w:type="dxa"/>
          </w:tcPr>
          <w:p w:rsidR="003C42BE" w:rsidRDefault="00156785">
            <w:p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szCs w:val="20"/>
                <w:lang w:val="sk-SK" w:eastAsia="de-DE"/>
              </w:rPr>
              <w:t>11/2020 – 12/2022</w:t>
            </w:r>
          </w:p>
        </w:tc>
      </w:tr>
      <w:tr w:rsidR="003C42BE">
        <w:tc>
          <w:tcPr>
            <w:tcW w:w="1980" w:type="dxa"/>
          </w:tcPr>
          <w:p w:rsidR="003C42BE" w:rsidRDefault="00156785">
            <w:p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b/>
                <w:lang w:val="sk-SK" w:eastAsia="de-DE"/>
              </w:rPr>
              <w:t>Projektoví partneri</w:t>
            </w:r>
          </w:p>
        </w:tc>
        <w:tc>
          <w:tcPr>
            <w:tcW w:w="7080" w:type="dxa"/>
          </w:tcPr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Úrad dolnorakúskej krajinskej vlády, oddelenie materských škôl (LEAD PARTNER)</w:t>
            </w:r>
          </w:p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Mesto Senica</w:t>
            </w:r>
          </w:p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Deutsche Schule Bratislava</w:t>
            </w:r>
          </w:p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Daphne – Inštitút aplikovanej ekológie</w:t>
            </w:r>
          </w:p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Riaditeľstvo pre vzdelávanie</w:t>
            </w:r>
            <w:r>
              <w:rPr>
                <w:rFonts w:asciiTheme="minorHAnsi" w:hAnsiTheme="minorHAnsi" w:cstheme="minorHAnsi"/>
                <w:lang w:val="sk-SK"/>
              </w:rPr>
              <w:t xml:space="preserve"> mesta Viedeň, Európska kancelária</w:t>
            </w:r>
          </w:p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Rakúski priatelia detí – krajinská organizácia Viedeň</w:t>
            </w:r>
          </w:p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Burgenlandsko</w:t>
            </w:r>
          </w:p>
          <w:p w:rsidR="003C42BE" w:rsidRDefault="00156785">
            <w:pPr>
              <w:spacing w:after="4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Mestská časť Bratislava- Nové Mesto</w:t>
            </w:r>
          </w:p>
        </w:tc>
      </w:tr>
      <w:tr w:rsidR="003C42BE">
        <w:tc>
          <w:tcPr>
            <w:tcW w:w="1980" w:type="dxa"/>
          </w:tcPr>
          <w:p w:rsidR="003C42BE" w:rsidRDefault="00156785">
            <w:pPr>
              <w:rPr>
                <w:rFonts w:asciiTheme="minorHAnsi" w:hAnsiTheme="minorHAnsi" w:cstheme="minorHAnsi"/>
                <w:b/>
                <w:lang w:val="sk-SK"/>
              </w:rPr>
            </w:pPr>
            <w:r>
              <w:rPr>
                <w:rFonts w:asciiTheme="minorHAnsi" w:hAnsiTheme="minorHAnsi" w:cstheme="minorHAnsi"/>
                <w:b/>
                <w:lang w:val="sk-SK"/>
              </w:rPr>
              <w:t>Strategickí partneri</w:t>
            </w:r>
          </w:p>
        </w:tc>
        <w:tc>
          <w:tcPr>
            <w:tcW w:w="7080" w:type="dxa"/>
          </w:tcPr>
          <w:p w:rsidR="003C42BE" w:rsidRDefault="00156785">
            <w:pPr>
              <w:pStyle w:val="Odsekzoznamu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Riadenie vzdelávania pre Dolné Rakúsko</w:t>
            </w:r>
          </w:p>
          <w:p w:rsidR="003C42BE" w:rsidRDefault="00156785">
            <w:pPr>
              <w:pStyle w:val="Odsekzoznamu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Spolok EFSZ – Európske centrum cudzích jazykov  európske</w:t>
            </w:r>
            <w:r>
              <w:rPr>
                <w:rFonts w:asciiTheme="minorHAnsi" w:hAnsiTheme="minorHAnsi" w:cstheme="minorHAnsi"/>
                <w:lang w:val="sk-SK"/>
              </w:rPr>
              <w:t xml:space="preserve">ho aparátu </w:t>
            </w:r>
          </w:p>
          <w:p w:rsidR="003C42BE" w:rsidRDefault="00156785">
            <w:pPr>
              <w:pStyle w:val="Odsekzoznamu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European Centre for Modern Languages of the Council of Europe</w:t>
            </w:r>
          </w:p>
          <w:p w:rsidR="003C42BE" w:rsidRDefault="00156785">
            <w:pPr>
              <w:pStyle w:val="Odsekzoznamu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SUNG – Spoločnosť učiteľov nemeckého jazyka a germanistov Slovenska</w:t>
            </w:r>
          </w:p>
        </w:tc>
      </w:tr>
    </w:tbl>
    <w:p w:rsidR="003C42BE" w:rsidRDefault="003C42BE">
      <w:pPr>
        <w:rPr>
          <w:rFonts w:asciiTheme="minorHAnsi" w:hAnsiTheme="minorHAnsi" w:cstheme="minorHAnsi"/>
          <w:lang w:val="sk-SK" w:eastAsia="de-DE"/>
        </w:rPr>
      </w:pPr>
    </w:p>
    <w:p w:rsidR="003C42BE" w:rsidRDefault="003C42BE">
      <w:pPr>
        <w:rPr>
          <w:rFonts w:asciiTheme="minorHAnsi" w:hAnsiTheme="minorHAnsi" w:cstheme="minorHAnsi"/>
          <w:b/>
          <w:bCs/>
          <w:lang w:val="sk-SK" w:eastAsia="de-DE"/>
        </w:rPr>
      </w:pPr>
    </w:p>
    <w:p w:rsidR="003C42BE" w:rsidRPr="00DE3E6D" w:rsidRDefault="00156785" w:rsidP="00DE3E6D">
      <w:pPr>
        <w:pStyle w:val="Odsekzoznamu"/>
        <w:numPr>
          <w:ilvl w:val="0"/>
          <w:numId w:val="1"/>
        </w:numPr>
        <w:rPr>
          <w:rFonts w:ascii="Calibri" w:hAnsi="Calibri" w:cs="Calibri"/>
          <w:b/>
          <w:sz w:val="22"/>
          <w:szCs w:val="22"/>
          <w:lang w:val="sk-SK" w:eastAsia="de-DE"/>
        </w:rPr>
      </w:pPr>
      <w:r w:rsidRPr="00DE3E6D">
        <w:rPr>
          <w:rFonts w:ascii="Calibri" w:hAnsi="Calibri" w:cs="Calibri"/>
          <w:b/>
          <w:sz w:val="22"/>
          <w:szCs w:val="22"/>
          <w:lang w:val="sk-SK" w:eastAsia="de-DE"/>
        </w:rPr>
        <w:t>Celkový rozpočet</w:t>
      </w:r>
    </w:p>
    <w:p w:rsidR="00DE3E6D" w:rsidRPr="00DE3E6D" w:rsidRDefault="00DE3E6D" w:rsidP="00DE3E6D">
      <w:pPr>
        <w:pStyle w:val="Odsekzoznamu"/>
        <w:rPr>
          <w:rFonts w:ascii="Calibri" w:hAnsi="Calibri" w:cs="Calibri"/>
          <w:b/>
          <w:sz w:val="22"/>
          <w:szCs w:val="22"/>
          <w:lang w:val="sk-SK" w:eastAsia="de-DE"/>
        </w:rPr>
      </w:pPr>
    </w:p>
    <w:p w:rsidR="003C42BE" w:rsidRDefault="00DE3E6D">
      <w:pPr>
        <w:pStyle w:val="Normlnywebov"/>
        <w:spacing w:before="0" w:beforeAutospacing="0" w:after="0" w:afterAutospacing="0"/>
        <w:textAlignment w:val="baseline"/>
        <w:rPr>
          <w:rFonts w:eastAsia="Times New Roman"/>
          <w:sz w:val="22"/>
          <w:szCs w:val="22"/>
          <w:lang w:val="sk-SK" w:eastAsia="de-AT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                                                                2.926.077,36</w:t>
      </w:r>
      <w:r w:rsidR="00156785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156785">
        <w:rPr>
          <w:rFonts w:ascii="Calibri" w:eastAsia="+mn-ea" w:hAnsi="Calibri" w:cs="Arial"/>
          <w:color w:val="000000"/>
          <w:kern w:val="24"/>
          <w:sz w:val="22"/>
          <w:szCs w:val="22"/>
          <w:lang w:val="sk-SK" w:eastAsia="de-AT"/>
        </w:rPr>
        <w:t>€</w:t>
      </w:r>
    </w:p>
    <w:p w:rsidR="003C42BE" w:rsidRDefault="003C42BE">
      <w:pPr>
        <w:rPr>
          <w:rFonts w:ascii="Calibri" w:hAnsi="Calibri" w:cs="Calibri"/>
          <w:sz w:val="22"/>
          <w:szCs w:val="22"/>
          <w:lang w:val="sk-SK" w:eastAsia="de-DE"/>
        </w:rPr>
      </w:pPr>
    </w:p>
    <w:p w:rsidR="003C42BE" w:rsidRDefault="003C42BE">
      <w:pPr>
        <w:spacing w:before="120" w:after="120"/>
        <w:jc w:val="both"/>
        <w:rPr>
          <w:rFonts w:asciiTheme="minorHAnsi" w:hAnsiTheme="minorHAnsi"/>
          <w:sz w:val="22"/>
          <w:lang w:val="sk-SK" w:eastAsia="de-DE"/>
        </w:rPr>
      </w:pPr>
    </w:p>
    <w:p w:rsidR="003C42BE" w:rsidRDefault="003C42BE">
      <w:pPr>
        <w:rPr>
          <w:lang w:val="sk-SK"/>
        </w:rPr>
      </w:pPr>
      <w:bookmarkStart w:id="0" w:name="_GoBack"/>
      <w:bookmarkEnd w:id="0"/>
    </w:p>
    <w:sectPr w:rsidR="003C42BE">
      <w:headerReference w:type="default" r:id="rId8"/>
      <w:footerReference w:type="default" r:id="rId9"/>
      <w:pgSz w:w="11906" w:h="16838"/>
      <w:pgMar w:top="1418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85" w:rsidRDefault="00156785">
      <w:r>
        <w:separator/>
      </w:r>
    </w:p>
  </w:endnote>
  <w:endnote w:type="continuationSeparator" w:id="0">
    <w:p w:rsidR="00156785" w:rsidRDefault="0015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631357"/>
      <w:docPartObj>
        <w:docPartGallery w:val="Page Numbers (Bottom of Page)"/>
        <w:docPartUnique/>
      </w:docPartObj>
    </w:sdtPr>
    <w:sdtEndPr/>
    <w:sdtContent>
      <w:p w:rsidR="003C42BE" w:rsidRDefault="00156785">
        <w:pPr>
          <w:pStyle w:val="Pta"/>
          <w:jc w:val="right"/>
        </w:pPr>
        <w:r>
          <w:fldChar w:fldCharType="begin"/>
        </w:r>
        <w:r>
          <w:instrText>PAGE   \* M</w:instrText>
        </w:r>
        <w:r>
          <w:instrText>ERGEFORMAT</w:instrText>
        </w:r>
        <w:r>
          <w:fldChar w:fldCharType="separate"/>
        </w:r>
        <w:r w:rsidR="00DE3E6D" w:rsidRPr="00DE3E6D">
          <w:rPr>
            <w:noProof/>
            <w:lang w:val="de-DE"/>
          </w:rPr>
          <w:t>2</w:t>
        </w:r>
        <w:r>
          <w:fldChar w:fldCharType="end"/>
        </w:r>
      </w:p>
    </w:sdtContent>
  </w:sdt>
  <w:p w:rsidR="003C42BE" w:rsidRDefault="003C42BE">
    <w:pPr>
      <w:tabs>
        <w:tab w:val="left" w:pos="3930"/>
      </w:tabs>
      <w:jc w:val="both"/>
      <w:rPr>
        <w:rFonts w:ascii="Arial" w:hAnsi="Arial"/>
        <w:sz w:val="16"/>
        <w:lang w:val="de-DE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85" w:rsidRDefault="00156785">
      <w:r>
        <w:separator/>
      </w:r>
    </w:p>
  </w:footnote>
  <w:footnote w:type="continuationSeparator" w:id="0">
    <w:p w:rsidR="00156785" w:rsidRDefault="0015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BE" w:rsidRDefault="00156785">
    <w:pPr>
      <w:pStyle w:val="Hlavika"/>
    </w:pPr>
    <w:r>
      <w:t xml:space="preserve">                                                                          </w:t>
    </w:r>
    <w:r>
      <w:rPr>
        <w:rFonts w:ascii="Calibri" w:eastAsia="Calibri" w:hAnsi="Calibri"/>
        <w:b/>
        <w:i/>
        <w:noProof/>
        <w:sz w:val="28"/>
        <w:szCs w:val="28"/>
        <w:lang w:val="sk-SK" w:eastAsia="sk-SK"/>
      </w:rPr>
      <w:drawing>
        <wp:inline distT="0" distB="0" distL="0" distR="0">
          <wp:extent cx="2921635" cy="9620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63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42BE" w:rsidRDefault="003C42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4AC"/>
    <w:multiLevelType w:val="hybridMultilevel"/>
    <w:tmpl w:val="91E47DF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05406"/>
    <w:multiLevelType w:val="hybridMultilevel"/>
    <w:tmpl w:val="07F217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DE3B20"/>
    <w:multiLevelType w:val="hybridMultilevel"/>
    <w:tmpl w:val="8EA00234"/>
    <w:lvl w:ilvl="0" w:tplc="0407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428C78BE" w:tentative="1">
      <w:start w:val="1"/>
      <w:numFmt w:val="bullet"/>
      <w:lvlText w:val="•"/>
      <w:lvlJc w:val="left"/>
      <w:pPr>
        <w:tabs>
          <w:tab w:val="num" w:pos="1437"/>
        </w:tabs>
        <w:ind w:left="1437" w:hanging="360"/>
      </w:pPr>
      <w:rPr>
        <w:rFonts w:ascii="Arial" w:hAnsi="Arial" w:hint="default"/>
      </w:rPr>
    </w:lvl>
    <w:lvl w:ilvl="2" w:tplc="846A6A90" w:tentative="1">
      <w:start w:val="1"/>
      <w:numFmt w:val="bullet"/>
      <w:lvlText w:val="•"/>
      <w:lvlJc w:val="left"/>
      <w:pPr>
        <w:tabs>
          <w:tab w:val="num" w:pos="2157"/>
        </w:tabs>
        <w:ind w:left="2157" w:hanging="360"/>
      </w:pPr>
      <w:rPr>
        <w:rFonts w:ascii="Arial" w:hAnsi="Arial" w:hint="default"/>
      </w:rPr>
    </w:lvl>
    <w:lvl w:ilvl="3" w:tplc="816CA9F4" w:tentative="1">
      <w:start w:val="1"/>
      <w:numFmt w:val="bullet"/>
      <w:lvlText w:val="•"/>
      <w:lvlJc w:val="left"/>
      <w:pPr>
        <w:tabs>
          <w:tab w:val="num" w:pos="2877"/>
        </w:tabs>
        <w:ind w:left="2877" w:hanging="360"/>
      </w:pPr>
      <w:rPr>
        <w:rFonts w:ascii="Arial" w:hAnsi="Arial" w:hint="default"/>
      </w:rPr>
    </w:lvl>
    <w:lvl w:ilvl="4" w:tplc="677A2DF2" w:tentative="1">
      <w:start w:val="1"/>
      <w:numFmt w:val="bullet"/>
      <w:lvlText w:val="•"/>
      <w:lvlJc w:val="left"/>
      <w:pPr>
        <w:tabs>
          <w:tab w:val="num" w:pos="3597"/>
        </w:tabs>
        <w:ind w:left="3597" w:hanging="360"/>
      </w:pPr>
      <w:rPr>
        <w:rFonts w:ascii="Arial" w:hAnsi="Arial" w:hint="default"/>
      </w:rPr>
    </w:lvl>
    <w:lvl w:ilvl="5" w:tplc="E520B902" w:tentative="1">
      <w:start w:val="1"/>
      <w:numFmt w:val="bullet"/>
      <w:lvlText w:val="•"/>
      <w:lvlJc w:val="left"/>
      <w:pPr>
        <w:tabs>
          <w:tab w:val="num" w:pos="4317"/>
        </w:tabs>
        <w:ind w:left="4317" w:hanging="360"/>
      </w:pPr>
      <w:rPr>
        <w:rFonts w:ascii="Arial" w:hAnsi="Arial" w:hint="default"/>
      </w:rPr>
    </w:lvl>
    <w:lvl w:ilvl="6" w:tplc="3356C11E" w:tentative="1">
      <w:start w:val="1"/>
      <w:numFmt w:val="bullet"/>
      <w:lvlText w:val="•"/>
      <w:lvlJc w:val="left"/>
      <w:pPr>
        <w:tabs>
          <w:tab w:val="num" w:pos="5037"/>
        </w:tabs>
        <w:ind w:left="5037" w:hanging="360"/>
      </w:pPr>
      <w:rPr>
        <w:rFonts w:ascii="Arial" w:hAnsi="Arial" w:hint="default"/>
      </w:rPr>
    </w:lvl>
    <w:lvl w:ilvl="7" w:tplc="2796EFB4" w:tentative="1">
      <w:start w:val="1"/>
      <w:numFmt w:val="bullet"/>
      <w:lvlText w:val="•"/>
      <w:lvlJc w:val="left"/>
      <w:pPr>
        <w:tabs>
          <w:tab w:val="num" w:pos="5757"/>
        </w:tabs>
        <w:ind w:left="5757" w:hanging="360"/>
      </w:pPr>
      <w:rPr>
        <w:rFonts w:ascii="Arial" w:hAnsi="Arial" w:hint="default"/>
      </w:rPr>
    </w:lvl>
    <w:lvl w:ilvl="8" w:tplc="5950C748" w:tentative="1">
      <w:start w:val="1"/>
      <w:numFmt w:val="bullet"/>
      <w:lvlText w:val="•"/>
      <w:lvlJc w:val="left"/>
      <w:pPr>
        <w:tabs>
          <w:tab w:val="num" w:pos="6477"/>
        </w:tabs>
        <w:ind w:left="6477" w:hanging="360"/>
      </w:pPr>
      <w:rPr>
        <w:rFonts w:ascii="Arial" w:hAnsi="Arial" w:hint="default"/>
      </w:rPr>
    </w:lvl>
  </w:abstractNum>
  <w:abstractNum w:abstractNumId="3" w15:restartNumberingAfterBreak="0">
    <w:nsid w:val="3EF21BE2"/>
    <w:multiLevelType w:val="hybridMultilevel"/>
    <w:tmpl w:val="A73C2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D10CC"/>
    <w:multiLevelType w:val="hybridMultilevel"/>
    <w:tmpl w:val="190A0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20C0"/>
    <w:multiLevelType w:val="hybridMultilevel"/>
    <w:tmpl w:val="8E667E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E"/>
    <w:rsid w:val="00156785"/>
    <w:rsid w:val="003C42BE"/>
    <w:rsid w:val="00D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2658"/>
  <w15:chartTrackingRefBased/>
  <w15:docId w15:val="{C078A53E-04A6-4888-99A0-25151C5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60"/>
      <w:outlineLvl w:val="1"/>
    </w:pPr>
    <w:rPr>
      <w:b/>
      <w:bCs/>
      <w:iCs/>
      <w:sz w:val="28"/>
    </w:rPr>
  </w:style>
  <w:style w:type="paragraph" w:styleId="Nadpis3">
    <w:name w:val="heading 3"/>
    <w:basedOn w:val="Normlny"/>
    <w:next w:val="Normlny"/>
    <w:link w:val="Nadpis3Char"/>
    <w:qFormat/>
    <w:pPr>
      <w:spacing w:before="240" w:after="24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Pr>
      <w:rFonts w:ascii="Times New Roman" w:eastAsia="Times New Roman" w:hAnsi="Times New Roman" w:cs="Times New Roman"/>
      <w:b/>
      <w:bCs/>
      <w:iCs/>
      <w:sz w:val="28"/>
      <w:szCs w:val="24"/>
      <w:lang w:val="de-AT" w:eastAsia="de-AT"/>
    </w:rPr>
  </w:style>
  <w:style w:type="character" w:customStyle="1" w:styleId="Nadpis3Char">
    <w:name w:val="Nadpis 3 Char"/>
    <w:basedOn w:val="Predvolenpsmoodseku"/>
    <w:link w:val="Nadpis3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16"/>
    </w:rPr>
  </w:style>
  <w:style w:type="character" w:customStyle="1" w:styleId="PtaChar">
    <w:name w:val="Päta Char"/>
    <w:basedOn w:val="Predvolenpsmoodseku"/>
    <w:link w:val="Pta"/>
    <w:uiPriority w:val="99"/>
    <w:rPr>
      <w:rFonts w:ascii="Arial" w:eastAsia="Times New Roman" w:hAnsi="Arial" w:cs="Times New Roman"/>
      <w:sz w:val="16"/>
      <w:szCs w:val="24"/>
      <w:lang w:val="de-AT" w:eastAsia="de-AT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/>
    </w:pPr>
    <w:rPr>
      <w:rFonts w:eastAsiaTheme="minorHAnsi"/>
      <w:lang w:val="de-DE" w:eastAsia="de-DE"/>
    </w:rPr>
  </w:style>
  <w:style w:type="table" w:styleId="Mriekatabukysvetl">
    <w:name w:val="Grid Table Light"/>
    <w:basedOn w:val="Normlnatabuka"/>
    <w:uiPriority w:val="40"/>
    <w:pPr>
      <w:spacing w:after="0" w:line="240" w:lineRule="auto"/>
    </w:pPr>
    <w:rPr>
      <w:lang w:val="de-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Novak</dc:creator>
  <cp:keywords/>
  <dc:description/>
  <cp:lastModifiedBy>marta MJ. jonasova</cp:lastModifiedBy>
  <cp:revision>4</cp:revision>
  <dcterms:created xsi:type="dcterms:W3CDTF">2020-05-24T20:37:00Z</dcterms:created>
  <dcterms:modified xsi:type="dcterms:W3CDTF">2022-01-20T12:57:00Z</dcterms:modified>
</cp:coreProperties>
</file>